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aps/>
          <w:sz w:val="28"/>
          <w:szCs w:val="28"/>
          <w:lang w:eastAsia="zh-CN"/>
        </w:rPr>
        <w:t>15 Геодезические работы при наблюдении за деформациями горных пород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 лекции: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 Типы наблюдательных станций и закрепление пунктов;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2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Проектировании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наблюдательных станций;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 Обработка результатов наблюдений.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15.1 Типы наблюдательных станций и закрепление пунктов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Инструментальные и визуальные наблюдения за сдвижением горных пород и земной поверхности проводят на наблюдательных станциях,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состоящих из систем реперов, расположенных на земной поверхности, в очистных, капитальных и подготовительных горных выработках, скважинах, охраняемых целиками и подрабатываемых объектах. В зависимости от местоположения и назначения различают следующие типы наблюдательных станций: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-наземные наблюдательные станции для определения параметров процесса сдвижения земной поверхности;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-подземные наблюдательные станции для определения характера и величин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сдвижений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деформаций толщи пород;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-специальные наблюдательные станции для контроля состояния подрабатываемых объектов и определения величин их деформаций.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en-US"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18200" cy="2784475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78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Рисунок 15.1 - </w:t>
      </w: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7405" cy="9144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Для получения всех необходимых данных о характере и параметрах процесса сдвижения горных пород и земной поверхности и взаимосвязи их с деформациями подрабатываемых объектов следует закладывать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комплексные станции, включающие все три типа наблюдательных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станций.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невозможности или нецелесообразности на данном этапе разработки месторождения закладки комплексной станции тип 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конструкция проектируемой станции выбирается, исходя из необходимости получения основных параметров сдвижения или в первую очередь тех данных, которые необходимы для решения отдельных конкретных вопросов сдвижения горных пород и охраны сооружений на месторождении.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Проведение наблюдений за сдвижением и деформированием массива горных пород, земной поверхности и объектов, подлежащих охране, является одной из основных задач маркшейдерской службы предприятия. Наблюдения выполняют силами маркшейдерского отдела или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специальной группы по наблюдению за сдвижением. К проведению наблюдений могут привлекаться и специализированные организации.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15.2 </w:t>
      </w:r>
      <w:proofErr w:type="gramStart"/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Проектировании</w:t>
      </w:r>
      <w:proofErr w:type="gramEnd"/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наблюдательных станций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Закладку наблюдательных станций и наблюдения на них проводят на основании проекта наблюдений за сдвижением, составленного главным маркшейдером рудника с участием других технических служб или специализированной организации. Проект согласовывают с главным маркшейдером вышестоящей организации. Утверждает его технический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руководитель организации, который осуществляет общее руководство по выполнению работ, предусмотренных проектом, и оперативное решение вопросов, связанных с обеспечением нормального функционирования объектов, подлежащих охране.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Перед составлением проекта наблюдательной станции необходимо ознакомиться с имеющимися на предприятии материалами по сдвижению горных пород и результатами проведенных ранее наблюдений, оценить их достоверность. Если на месторождении сохранились старые наблюдательные станции, необходимо их обследовать и установить возможность использования в дальнейшем.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проектировании наблюдательных станций, проведении наблюдений, анализе и обобщении результатов необходимо учитывать, что характер и параметры процесса сдвижения горных пород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и земной поверхности существенно зависят от следующих горно-геологических и горнотехнических факторов: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-структурных особенностей массива горных пород (слоистое или неслоистое строение, согласное или несогласное залегание рудных тел и вмещающих пород, тектоническая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нарушенность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трещиноватость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мощность слоев пород, характер их контактов и так далее);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-формы, размеров и глубины залегания рудных тел, соотношения размеров выработанного пространства и глубины разработки;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-физико-механических свойств руды и вмещающих пород;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-углов падения рудных тел и вмещающих пород;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-способа управления кровлей.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Проект наблюдательной станции за сдвижением земной поверхности и подрабатываемых объектов включает в себя краткую пояснительную записку  графические материалы, характеризующие горно-геологическую ситуацию в районе наблюдательной станции, взаимное расположение реперов наблюдательной станции, подрабатываемых объектов и очистных выработок.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План наблюдательной станции составляют в зависимости от требуемой детальности в масштабах 1:500, 1:1000 или 1:2000.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план следует наносить:  рельеф земной поверхности, контуры имеющихся провалов, зоны трещин; сооружения, другие наземные и подземные  объекты и коммуникации в районе наблюдательной станции (с выделением объектов, подлежащих охране); профильные линии и реперы наблюдательной станции; контуры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br/>
        <w:t>рудных тел и очистных выработок (проектных и существующих) с датами отработки отдельных камер или участков;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границы предохранительных целиков (зон) под объектами, подлежащими охране, и вероятную зону опасных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сдвижений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; положение  основных подготовительных выработок, по которым проектируют проведение инструментальных и визуальных наблюдений.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наблюдении за сдвижением горных пород и земной поверхности для определения параметров процесса сдвижения в сложных горно-геологических условиях или безопасных условий выемки руды из предохранительных целиков различного назначения рекомендуется привлекать к работам специализированные организации.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После перенесения проекта в натуру закладывают опорные, рабочие и вспомогательные реперы (рис. 15.1). 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Результаты наблюдений (рис. 15.2) следует систематически анализировать, обобщать как собственными силами, так и с привлечением специализированных организаций.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15.3 Обработка результатов наблюдений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Результаты наблюдений (рис. 15.2) следует систематически анализировать, обобщать как собственными силами, так и с привлечением специализированных организаций.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Оперативно использовать специализированные организации для решения различных вопросов сдвижения горных пород и охраны сооружений: разработки мер охраны зданий, сооружений и природных объектов от вредного влияния подземных горных разработок; определения условий безопасной выемки запасов руды под объектами, подлежащими охране; рекультивации территор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ии и ее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застройки; разработки и совершенствования нормативных документов по сдвижению горных пород, охране сооружений и природных объектов, которые согласовывают и утверждают в установленном порядке.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11090" cy="3750310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375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15.2 -</w:t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65395" cy="626745"/>
            <wp:effectExtent l="19050" t="0" r="190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B0909" w:rsidRPr="00C72182" w:rsidRDefault="00FB0909" w:rsidP="00FB09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aps/>
          <w:sz w:val="28"/>
          <w:szCs w:val="28"/>
          <w:lang w:val="kk-KZ" w:eastAsia="zh-CN"/>
        </w:rPr>
        <w:t>С</w:t>
      </w:r>
      <w:r w:rsidRPr="00C72182">
        <w:rPr>
          <w:rFonts w:ascii="Times New Roman" w:eastAsia="SimSun" w:hAnsi="Times New Roman"/>
          <w:caps/>
          <w:sz w:val="28"/>
          <w:szCs w:val="28"/>
          <w:lang w:eastAsia="zh-CN"/>
        </w:rPr>
        <w:t>писок литературы</w:t>
      </w:r>
    </w:p>
    <w:p w:rsidR="00FB0909" w:rsidRPr="00C72182" w:rsidRDefault="00FB0909" w:rsidP="00FB09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</w:p>
    <w:p w:rsidR="00FB0909" w:rsidRPr="00C72182" w:rsidRDefault="00FB0909" w:rsidP="00FB0909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FB0909" w:rsidRPr="00C72182" w:rsidRDefault="00FB0909" w:rsidP="00FB0909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2.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Борщ-Компониец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В.И. Геодезия и маркшейдерское дело.—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1989.</w:t>
      </w:r>
    </w:p>
    <w:p w:rsidR="00FB0909" w:rsidRPr="00C72182" w:rsidRDefault="00FB0909" w:rsidP="00FB0909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3.Борщ-Компониец В.И. Геодезия, основы аэрофотосъемки и маркшейдерского дела. -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1989.</w:t>
      </w:r>
    </w:p>
    <w:p w:rsidR="00FB0909" w:rsidRPr="00C72182" w:rsidRDefault="00FB0909" w:rsidP="00FB0909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4.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Борщ-Компониец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В.И.,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Навитний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А.М.,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Кныш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Г.М. Маркшейдерское дело. -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1992.–447с.</w:t>
      </w:r>
    </w:p>
    <w:p w:rsidR="00FB0909" w:rsidRPr="00C72182" w:rsidRDefault="00FB0909" w:rsidP="00FB0909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5.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Синанян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Р.Р. Маркшейдерское дело. -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1982.– 303с.</w:t>
      </w:r>
    </w:p>
    <w:p w:rsidR="00FB0909" w:rsidRPr="00C72182" w:rsidRDefault="00FB0909" w:rsidP="00FB0909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6. Методическая разработка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.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(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о выполнению лабораторных занятий по курсу «Маркшейдерское дело». Окатов Р.П.,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Ермекова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Г.А., Старостина О.В. – Караганда, 2001.–26с. </w:t>
      </w:r>
    </w:p>
    <w:p w:rsidR="00057A27" w:rsidRDefault="00057A27"/>
    <w:sectPr w:rsidR="00057A27" w:rsidSect="0005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B0909"/>
    <w:rsid w:val="00057A27"/>
    <w:rsid w:val="00FB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9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5820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2020-03-21T06:45:00Z</dcterms:created>
  <dcterms:modified xsi:type="dcterms:W3CDTF">2020-03-21T06:45:00Z</dcterms:modified>
</cp:coreProperties>
</file>